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9B" w:rsidRPr="00C371B9" w:rsidRDefault="00AE709B" w:rsidP="006D0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E709B" w:rsidRPr="00C371B9" w:rsidRDefault="00AE709B" w:rsidP="006D0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E709B" w:rsidRPr="00C371B9" w:rsidRDefault="00AE709B" w:rsidP="006D0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AE709B" w:rsidRPr="00C371B9" w:rsidRDefault="00AE709B" w:rsidP="006D0C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D0C3F" w:rsidRPr="00C371B9" w:rsidRDefault="00C8159D" w:rsidP="002B07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371B9">
        <w:rPr>
          <w:rFonts w:ascii="Arial" w:hAnsi="Arial" w:cs="Arial"/>
          <w:sz w:val="24"/>
          <w:szCs w:val="24"/>
          <w:lang w:val="pt-BR"/>
        </w:rPr>
        <w:t xml:space="preserve">Ofício </w:t>
      </w:r>
      <w:r w:rsidR="00BB39FC" w:rsidRPr="00C371B9">
        <w:rPr>
          <w:rFonts w:ascii="Arial" w:hAnsi="Arial" w:cs="Arial"/>
          <w:sz w:val="24"/>
          <w:szCs w:val="24"/>
          <w:lang w:val="pt-BR"/>
        </w:rPr>
        <w:t>1</w:t>
      </w:r>
      <w:r w:rsidR="00C371B9" w:rsidRPr="00C371B9">
        <w:rPr>
          <w:rFonts w:ascii="Arial" w:hAnsi="Arial" w:cs="Arial"/>
          <w:sz w:val="24"/>
          <w:szCs w:val="24"/>
          <w:lang w:val="pt-BR"/>
        </w:rPr>
        <w:t>2</w:t>
      </w:r>
      <w:r w:rsidR="0046481E" w:rsidRPr="00C371B9">
        <w:rPr>
          <w:rFonts w:ascii="Arial" w:hAnsi="Arial" w:cs="Arial"/>
          <w:sz w:val="24"/>
          <w:szCs w:val="24"/>
          <w:lang w:val="pt-BR"/>
        </w:rPr>
        <w:t xml:space="preserve">/MGM                                                  </w:t>
      </w:r>
    </w:p>
    <w:p w:rsidR="0046481E" w:rsidRPr="00C371B9" w:rsidRDefault="00E51B84" w:rsidP="002B07D3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4"/>
          <w:szCs w:val="24"/>
          <w:lang w:val="pt-BR"/>
        </w:rPr>
      </w:pPr>
      <w:r w:rsidRPr="00C371B9">
        <w:rPr>
          <w:rFonts w:ascii="Arial" w:hAnsi="Arial" w:cs="Arial"/>
          <w:sz w:val="24"/>
          <w:szCs w:val="24"/>
          <w:lang w:val="pt-BR"/>
        </w:rPr>
        <w:t>Brasília,</w:t>
      </w:r>
      <w:r w:rsidR="0046481E" w:rsidRPr="00C371B9">
        <w:rPr>
          <w:rFonts w:ascii="Arial" w:hAnsi="Arial" w:cs="Arial"/>
          <w:sz w:val="24"/>
          <w:szCs w:val="24"/>
          <w:lang w:val="pt-BR"/>
        </w:rPr>
        <w:t xml:space="preserve"> </w:t>
      </w:r>
      <w:r w:rsidR="00C371B9" w:rsidRPr="00C371B9">
        <w:rPr>
          <w:rFonts w:ascii="Arial" w:hAnsi="Arial" w:cs="Arial"/>
          <w:sz w:val="24"/>
          <w:szCs w:val="24"/>
          <w:lang w:val="pt-BR"/>
        </w:rPr>
        <w:t>18</w:t>
      </w:r>
      <w:r w:rsidR="00BB39FC" w:rsidRPr="00C371B9">
        <w:rPr>
          <w:rFonts w:ascii="Arial" w:hAnsi="Arial" w:cs="Arial"/>
          <w:sz w:val="24"/>
          <w:szCs w:val="24"/>
          <w:lang w:val="pt-BR"/>
        </w:rPr>
        <w:t xml:space="preserve"> </w:t>
      </w:r>
      <w:r w:rsidR="0046481E" w:rsidRPr="00C371B9">
        <w:rPr>
          <w:rFonts w:ascii="Arial" w:hAnsi="Arial" w:cs="Arial"/>
          <w:sz w:val="24"/>
          <w:szCs w:val="24"/>
          <w:lang w:val="pt-BR"/>
        </w:rPr>
        <w:t xml:space="preserve">de </w:t>
      </w:r>
      <w:r w:rsidR="00BB39FC" w:rsidRPr="00C371B9">
        <w:rPr>
          <w:rFonts w:ascii="Arial" w:hAnsi="Arial" w:cs="Arial"/>
          <w:sz w:val="24"/>
          <w:szCs w:val="24"/>
          <w:lang w:val="pt-BR"/>
        </w:rPr>
        <w:t>dezembro</w:t>
      </w:r>
      <w:r w:rsidR="00357B42" w:rsidRPr="00C371B9">
        <w:rPr>
          <w:rFonts w:ascii="Arial" w:hAnsi="Arial" w:cs="Arial"/>
          <w:sz w:val="24"/>
          <w:szCs w:val="24"/>
          <w:lang w:val="pt-BR"/>
        </w:rPr>
        <w:t xml:space="preserve"> </w:t>
      </w:r>
      <w:r w:rsidR="0046481E" w:rsidRPr="00C371B9">
        <w:rPr>
          <w:rFonts w:ascii="Arial" w:hAnsi="Arial" w:cs="Arial"/>
          <w:sz w:val="24"/>
          <w:szCs w:val="24"/>
          <w:lang w:val="pt-BR"/>
        </w:rPr>
        <w:t>de 201</w:t>
      </w:r>
      <w:r w:rsidR="00643FBF" w:rsidRPr="00C371B9">
        <w:rPr>
          <w:rFonts w:ascii="Arial" w:hAnsi="Arial" w:cs="Arial"/>
          <w:sz w:val="24"/>
          <w:szCs w:val="24"/>
          <w:lang w:val="pt-BR"/>
        </w:rPr>
        <w:t>7</w:t>
      </w:r>
      <w:r w:rsidR="0046481E" w:rsidRPr="00C371B9">
        <w:rPr>
          <w:rFonts w:ascii="Arial" w:hAnsi="Arial" w:cs="Arial"/>
          <w:sz w:val="24"/>
          <w:szCs w:val="24"/>
          <w:lang w:val="pt-BR"/>
        </w:rPr>
        <w:t>.</w:t>
      </w:r>
    </w:p>
    <w:p w:rsidR="006D0C3F" w:rsidRPr="00C371B9" w:rsidRDefault="006D0C3F" w:rsidP="002B07D3">
      <w:pPr>
        <w:pStyle w:val="Padro"/>
        <w:spacing w:after="0"/>
        <w:rPr>
          <w:rFonts w:ascii="Arial" w:hAnsi="Arial" w:cs="Arial"/>
          <w:sz w:val="24"/>
          <w:szCs w:val="24"/>
        </w:rPr>
      </w:pPr>
    </w:p>
    <w:p w:rsidR="00972F11" w:rsidRDefault="00643FBF" w:rsidP="002B07D3">
      <w:pPr>
        <w:pStyle w:val="Padro"/>
        <w:spacing w:after="0"/>
        <w:rPr>
          <w:rFonts w:ascii="Arial" w:hAnsi="Arial" w:cs="Arial"/>
          <w:sz w:val="24"/>
          <w:szCs w:val="24"/>
        </w:rPr>
      </w:pPr>
      <w:r w:rsidRPr="00C371B9">
        <w:rPr>
          <w:rFonts w:ascii="Arial" w:hAnsi="Arial" w:cs="Arial"/>
          <w:sz w:val="24"/>
          <w:szCs w:val="24"/>
        </w:rPr>
        <w:t xml:space="preserve">A Sua Excelência </w:t>
      </w:r>
      <w:r w:rsidR="00BB39FC" w:rsidRPr="00C371B9">
        <w:rPr>
          <w:rFonts w:ascii="Arial" w:hAnsi="Arial" w:cs="Arial"/>
          <w:sz w:val="24"/>
          <w:szCs w:val="24"/>
        </w:rPr>
        <w:t>a</w:t>
      </w:r>
      <w:r w:rsidR="0063696B" w:rsidRPr="00C371B9">
        <w:rPr>
          <w:rFonts w:ascii="Arial" w:hAnsi="Arial" w:cs="Arial"/>
          <w:sz w:val="24"/>
          <w:szCs w:val="24"/>
        </w:rPr>
        <w:t xml:space="preserve"> Senhor</w:t>
      </w:r>
      <w:r w:rsidR="00BB39FC" w:rsidRPr="00C371B9">
        <w:rPr>
          <w:rFonts w:ascii="Arial" w:hAnsi="Arial" w:cs="Arial"/>
          <w:sz w:val="24"/>
          <w:szCs w:val="24"/>
        </w:rPr>
        <w:t>a</w:t>
      </w:r>
      <w:r w:rsidR="0063696B" w:rsidRPr="00C371B9">
        <w:rPr>
          <w:rFonts w:ascii="Arial" w:hAnsi="Arial" w:cs="Arial"/>
          <w:sz w:val="24"/>
          <w:szCs w:val="24"/>
        </w:rPr>
        <w:t xml:space="preserve"> </w:t>
      </w:r>
    </w:p>
    <w:p w:rsidR="00973CED" w:rsidRPr="00C371B9" w:rsidRDefault="00973CED" w:rsidP="002B07D3">
      <w:pPr>
        <w:pStyle w:val="Padr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Relatora da </w:t>
      </w:r>
      <w:proofErr w:type="gramStart"/>
      <w:r w:rsidRPr="002B07D3">
        <w:rPr>
          <w:rFonts w:ascii="Arial" w:hAnsi="Arial" w:cs="Arial"/>
          <w:b/>
          <w:sz w:val="24"/>
          <w:szCs w:val="24"/>
        </w:rPr>
        <w:t>AS</w:t>
      </w:r>
      <w:proofErr w:type="gramEnd"/>
      <w:r w:rsidRPr="002B07D3">
        <w:rPr>
          <w:rFonts w:ascii="Arial" w:hAnsi="Arial" w:cs="Arial"/>
          <w:b/>
          <w:sz w:val="24"/>
          <w:szCs w:val="24"/>
        </w:rPr>
        <w:t xml:space="preserve"> 91</w:t>
      </w:r>
    </w:p>
    <w:p w:rsidR="00972F11" w:rsidRDefault="00972F11" w:rsidP="002B07D3">
      <w:pPr>
        <w:pStyle w:val="Padro"/>
        <w:spacing w:after="0"/>
        <w:rPr>
          <w:rStyle w:val="Forte"/>
          <w:rFonts w:ascii="Arial" w:eastAsiaTheme="minorHAnsi" w:hAnsi="Arial" w:cs="Arial"/>
          <w:bCs w:val="0"/>
          <w:color w:val="000000" w:themeColor="text1"/>
          <w:sz w:val="24"/>
          <w:szCs w:val="24"/>
          <w:lang w:eastAsia="pt-BR"/>
        </w:rPr>
      </w:pPr>
      <w:r w:rsidRPr="00C371B9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Ministr</w:t>
      </w:r>
      <w:r w:rsidR="00BB39FC" w:rsidRPr="00C371B9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a</w:t>
      </w:r>
      <w:r w:rsidRPr="00C371B9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BB39FC" w:rsidRPr="00C371B9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C</w:t>
      </w:r>
      <w:r w:rsidR="0023072C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á</w:t>
      </w:r>
      <w:r w:rsidR="00BB39FC" w:rsidRPr="00C371B9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>rmen</w:t>
      </w:r>
      <w:proofErr w:type="spellEnd"/>
      <w:r w:rsidR="00BB39FC" w:rsidRPr="00C371B9"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 xml:space="preserve"> Lúcia</w:t>
      </w:r>
    </w:p>
    <w:p w:rsidR="00C371B9" w:rsidRPr="00C371B9" w:rsidRDefault="00C371B9" w:rsidP="002B07D3">
      <w:pPr>
        <w:pStyle w:val="Padro"/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Forte"/>
          <w:rFonts w:ascii="Arial" w:hAnsi="Arial" w:cs="Arial"/>
          <w:bCs w:val="0"/>
          <w:color w:val="000000" w:themeColor="text1"/>
          <w:sz w:val="24"/>
          <w:szCs w:val="24"/>
        </w:rPr>
        <w:t xml:space="preserve">Presidente do Supremo Tribunal Federal </w:t>
      </w:r>
    </w:p>
    <w:p w:rsidR="00E51B84" w:rsidRDefault="00E51B84" w:rsidP="002755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C351E6" w:rsidRPr="00C371B9" w:rsidRDefault="00C351E6" w:rsidP="002755E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A20ADD" w:rsidRPr="00C371B9" w:rsidRDefault="002755EB" w:rsidP="002B07D3">
      <w:pPr>
        <w:spacing w:before="100" w:beforeAutospacing="1" w:after="100" w:afterAutospacing="1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371B9">
        <w:rPr>
          <w:rFonts w:ascii="Arial" w:hAnsi="Arial" w:cs="Arial"/>
          <w:sz w:val="24"/>
          <w:szCs w:val="24"/>
          <w:lang w:val="pt-BR"/>
        </w:rPr>
        <w:t>Senhor</w:t>
      </w:r>
      <w:r w:rsidR="00BB39FC" w:rsidRPr="00C371B9">
        <w:rPr>
          <w:rFonts w:ascii="Arial" w:hAnsi="Arial" w:cs="Arial"/>
          <w:sz w:val="24"/>
          <w:szCs w:val="24"/>
          <w:lang w:val="pt-BR"/>
        </w:rPr>
        <w:t>a</w:t>
      </w:r>
      <w:r w:rsidRPr="00C371B9">
        <w:rPr>
          <w:rFonts w:ascii="Arial" w:hAnsi="Arial" w:cs="Arial"/>
          <w:sz w:val="24"/>
          <w:szCs w:val="24"/>
          <w:lang w:val="pt-BR"/>
        </w:rPr>
        <w:t xml:space="preserve"> Presidente</w:t>
      </w:r>
      <w:r w:rsidR="00B664C5" w:rsidRPr="00C371B9">
        <w:rPr>
          <w:rFonts w:ascii="Arial" w:hAnsi="Arial" w:cs="Arial"/>
          <w:sz w:val="24"/>
          <w:szCs w:val="24"/>
          <w:lang w:val="pt-BR"/>
        </w:rPr>
        <w:t>,</w:t>
      </w:r>
    </w:p>
    <w:p w:rsidR="00C371B9" w:rsidRPr="00C371B9" w:rsidRDefault="00C371B9" w:rsidP="002B07D3">
      <w:pPr>
        <w:pStyle w:val="western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Marcello Paranhos de Oliveira Miller </w:t>
      </w:r>
      <w:r w:rsidR="000C7402">
        <w:rPr>
          <w:rFonts w:ascii="Arial" w:hAnsi="Arial" w:cs="Arial"/>
        </w:rPr>
        <w:t>arguiu a</w:t>
      </w:r>
      <w:r w:rsidRPr="00C371B9">
        <w:rPr>
          <w:rFonts w:ascii="Arial" w:hAnsi="Arial" w:cs="Arial"/>
        </w:rPr>
        <w:t xml:space="preserve"> suspeição</w:t>
      </w:r>
      <w:r w:rsidR="000C7402">
        <w:rPr>
          <w:rFonts w:ascii="Arial" w:hAnsi="Arial" w:cs="Arial"/>
        </w:rPr>
        <w:t xml:space="preserve"> do signatário</w:t>
      </w:r>
      <w:r w:rsidRPr="00C371B9">
        <w:rPr>
          <w:rFonts w:ascii="Arial" w:hAnsi="Arial" w:cs="Arial"/>
        </w:rPr>
        <w:t xml:space="preserve">, tendo em vista a distribuição </w:t>
      </w:r>
      <w:proofErr w:type="gramStart"/>
      <w:r w:rsidRPr="00C371B9">
        <w:rPr>
          <w:rFonts w:ascii="Arial" w:hAnsi="Arial" w:cs="Arial"/>
        </w:rPr>
        <w:t xml:space="preserve">do </w:t>
      </w:r>
      <w:r w:rsidRPr="000C7402">
        <w:rPr>
          <w:rFonts w:ascii="Arial" w:hAnsi="Arial" w:cs="Arial"/>
          <w:i/>
          <w:iCs/>
        </w:rPr>
        <w:t xml:space="preserve">Habeas Corpus </w:t>
      </w:r>
      <w:r w:rsidRPr="000C7402">
        <w:rPr>
          <w:rFonts w:ascii="Arial" w:hAnsi="Arial" w:cs="Arial"/>
        </w:rPr>
        <w:t>150.411</w:t>
      </w:r>
      <w:proofErr w:type="gramEnd"/>
      <w:r w:rsidRPr="00C371B9">
        <w:rPr>
          <w:rFonts w:ascii="Arial" w:hAnsi="Arial" w:cs="Arial"/>
        </w:rPr>
        <w:t xml:space="preserve"> – impetrado em seu favor – à minha relatoria</w:t>
      </w:r>
      <w:r w:rsidR="000C7402">
        <w:rPr>
          <w:rFonts w:ascii="Arial" w:hAnsi="Arial" w:cs="Arial"/>
        </w:rPr>
        <w:t xml:space="preserve"> (</w:t>
      </w:r>
      <w:r w:rsidR="000C7402" w:rsidRPr="002B07D3">
        <w:rPr>
          <w:rFonts w:ascii="Arial" w:hAnsi="Arial" w:cs="Arial"/>
          <w:b/>
        </w:rPr>
        <w:t>AS 91</w:t>
      </w:r>
      <w:r w:rsidR="000C7402">
        <w:rPr>
          <w:rFonts w:ascii="Arial" w:hAnsi="Arial" w:cs="Arial"/>
        </w:rPr>
        <w:t>)</w:t>
      </w:r>
      <w:r w:rsidRPr="00C371B9">
        <w:rPr>
          <w:rFonts w:ascii="Arial" w:hAnsi="Arial" w:cs="Arial"/>
        </w:rPr>
        <w:t>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Alega-se que minha parcialidade estaria comprometida, tendo em vista manifestações prévias sobre o paciente. 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Notificado pelo Ofício 26.919/2017, presto as seguintes informações.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Conforme os arts. 99 e 112 do CPP, o juiz recusado poderá reconhecer a suspeição ou o impedimento. Não aceito a recusa.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A arguição não é fundada em causa legal específica, na forma do art. 254 do CPP. Sustenta-se que o signatário teria formado seu convencimento antes do estabelecimento do contraditório. Existiria situação de incompatibilidade, na forma do art. 112 do CPP.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lastRenderedPageBreak/>
        <w:t>A doutrina diverge quanto à interpretação dessa disposição. De um lado, alguns doutrinadores afirmam que a incompatibilidade é uma “</w:t>
      </w:r>
      <w:r w:rsidRPr="00C371B9">
        <w:rPr>
          <w:rFonts w:ascii="Arial" w:hAnsi="Arial" w:cs="Arial"/>
          <w:i/>
          <w:iCs/>
        </w:rPr>
        <w:t>ampliação genérica e não prescrita expressamente das situações de vício à parcialidade</w:t>
      </w:r>
      <w:r w:rsidRPr="00C371B9">
        <w:rPr>
          <w:rFonts w:ascii="Arial" w:hAnsi="Arial" w:cs="Arial"/>
        </w:rPr>
        <w:t xml:space="preserve">” (OLIVEIRA, Eugênio Pacelli de; FISCHER, Douglas. </w:t>
      </w:r>
      <w:r w:rsidRPr="00C371B9">
        <w:rPr>
          <w:rFonts w:ascii="Arial" w:hAnsi="Arial" w:cs="Arial"/>
          <w:b/>
          <w:bCs/>
        </w:rPr>
        <w:t xml:space="preserve">Comentários ao Código de Processo Penal e sua Jurisprudência. </w:t>
      </w:r>
      <w:r w:rsidRPr="00C371B9">
        <w:rPr>
          <w:rFonts w:ascii="Arial" w:hAnsi="Arial" w:cs="Arial"/>
        </w:rPr>
        <w:t>3. ed. Rio de Janeiro: Lumen Juris, 2011. p. 239). Outros veem na incompatibilidade a simples pronúncia de ofício da suspeição (NUCCI, Guilherme de Souza. Curso de Processo Penal Comentado. 11. ed. São Paulo: RT, 2012. p. 311).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Para o caso, não é essencial resolver essa controvérsia doutrinária.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A jurisprudência desta Corte é no sentido de que as hipóteses legais de impedimento são um “</w:t>
      </w:r>
      <w:r w:rsidRPr="00C371B9">
        <w:rPr>
          <w:rFonts w:ascii="Arial" w:hAnsi="Arial" w:cs="Arial"/>
          <w:i/>
          <w:iCs/>
        </w:rPr>
        <w:t>rol taxativo</w:t>
      </w:r>
      <w:r w:rsidRPr="00C371B9">
        <w:rPr>
          <w:rFonts w:ascii="Arial" w:hAnsi="Arial" w:cs="Arial"/>
        </w:rPr>
        <w:t>”, o qual não comporta “</w:t>
      </w:r>
      <w:r w:rsidRPr="00C371B9">
        <w:rPr>
          <w:rFonts w:ascii="Arial" w:hAnsi="Arial" w:cs="Arial"/>
          <w:i/>
          <w:iCs/>
        </w:rPr>
        <w:t>analogia pura e simples</w:t>
      </w:r>
      <w:r w:rsidRPr="00C371B9">
        <w:rPr>
          <w:rFonts w:ascii="Arial" w:hAnsi="Arial" w:cs="Arial"/>
        </w:rPr>
        <w:t>” nem “</w:t>
      </w:r>
      <w:r w:rsidRPr="00C371B9">
        <w:rPr>
          <w:rFonts w:ascii="Arial" w:hAnsi="Arial" w:cs="Arial"/>
          <w:i/>
          <w:iCs/>
        </w:rPr>
        <w:t>interpretação extensiva</w:t>
      </w:r>
      <w:r w:rsidRPr="00C371B9">
        <w:rPr>
          <w:rFonts w:ascii="Arial" w:hAnsi="Arial" w:cs="Arial"/>
        </w:rPr>
        <w:t>”, visto que “</w:t>
      </w:r>
      <w:r w:rsidRPr="00C371B9">
        <w:rPr>
          <w:rFonts w:ascii="Arial" w:hAnsi="Arial" w:cs="Arial"/>
          <w:i/>
          <w:iCs/>
        </w:rPr>
        <w:t>não é possível ao Judiciário legislar para incluir causa não prevista pelo legislador</w:t>
      </w:r>
      <w:r w:rsidRPr="00C371B9">
        <w:rPr>
          <w:rFonts w:ascii="Arial" w:hAnsi="Arial" w:cs="Arial"/>
        </w:rPr>
        <w:t>” (HC 97.544, Rel. Min. Eros Grau, em que fui designado Redator para acórdão, Segunda Turma, julgado em 21.9.2010).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Ainda que se admitisse alguma ampliação do rol das hipóteses de suspeição, ela seria para casos excepcionais, não previstos na lei. Nesse sentido, a doutrina lembra as hipóteses de recusa por foro íntimo e de parente próximo do julgador como testemunha dos fatos (OLIVEIRA, Eugênio Pacelli de; FISCHER, Douglas. </w:t>
      </w:r>
      <w:r w:rsidRPr="00C371B9">
        <w:rPr>
          <w:rFonts w:ascii="Arial" w:hAnsi="Arial" w:cs="Arial"/>
          <w:b/>
          <w:bCs/>
        </w:rPr>
        <w:t xml:space="preserve">Comentários ao Código de Processo Penal e sua Jurisprudência. </w:t>
      </w:r>
      <w:r w:rsidRPr="00C371B9">
        <w:rPr>
          <w:rFonts w:ascii="Arial" w:hAnsi="Arial" w:cs="Arial"/>
        </w:rPr>
        <w:t>3. ed. Rio de Janeiro: Lumen Juris, 2011. p. 240). No primeiro caso, o julgador recusa-se para causas em que não se sente isento. No segundo, a incompatibilidade decorreria da impossibilidade de avaliar com isenção a veracidade do depoimento de seu parente.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No caso concreto, a alegação é fundada em pronunciamentos </w:t>
      </w:r>
      <w:proofErr w:type="gramStart"/>
      <w:r w:rsidRPr="00C371B9">
        <w:rPr>
          <w:rFonts w:ascii="Arial" w:hAnsi="Arial" w:cs="Arial"/>
        </w:rPr>
        <w:t>meus, um</w:t>
      </w:r>
      <w:proofErr w:type="gramEnd"/>
      <w:r w:rsidRPr="00C371B9">
        <w:rPr>
          <w:rFonts w:ascii="Arial" w:hAnsi="Arial" w:cs="Arial"/>
        </w:rPr>
        <w:t xml:space="preserve"> em julgamento na Segunda Turma e outros</w:t>
      </w:r>
      <w:r w:rsidR="00E23E5D">
        <w:rPr>
          <w:rFonts w:ascii="Arial" w:hAnsi="Arial" w:cs="Arial"/>
        </w:rPr>
        <w:t xml:space="preserve"> dois</w:t>
      </w:r>
      <w:r w:rsidRPr="00C371B9">
        <w:rPr>
          <w:rFonts w:ascii="Arial" w:hAnsi="Arial" w:cs="Arial"/>
        </w:rPr>
        <w:t xml:space="preserve"> em entrevistas. Nas três oportunidades, fiz referência à atuação do paciente nas gravações que ensejaram o acordo de colaboração premiada de executivos da JBS.</w:t>
      </w:r>
    </w:p>
    <w:p w:rsid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Os pronunciamentos não demonstram inimizade capital com o paciente. Não tenho com ele relacionamento pessoal.</w:t>
      </w:r>
    </w:p>
    <w:p w:rsidR="007357C0" w:rsidRPr="00C371B9" w:rsidRDefault="007357C0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</w:t>
      </w:r>
      <w:r w:rsidR="00973CED">
        <w:rPr>
          <w:rFonts w:ascii="Arial" w:hAnsi="Arial" w:cs="Arial"/>
          <w:i/>
        </w:rPr>
        <w:t>habeas corpus</w:t>
      </w:r>
      <w:r w:rsidRPr="00C371B9">
        <w:rPr>
          <w:rFonts w:ascii="Arial" w:hAnsi="Arial" w:cs="Arial"/>
        </w:rPr>
        <w:t xml:space="preserve"> busca o reconhecimento de prerrogativas do paciente como investigado – ficar em silêncio, ser assistido por advogado, ter acesso a documentos da investigação.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De forma alguma as manifestações prejudicam a análise </w:t>
      </w:r>
      <w:r w:rsidR="0023072C">
        <w:rPr>
          <w:rFonts w:ascii="Arial" w:hAnsi="Arial" w:cs="Arial"/>
        </w:rPr>
        <w:t>da</w:t>
      </w:r>
      <w:r w:rsidR="0023072C" w:rsidRPr="00C371B9">
        <w:rPr>
          <w:rFonts w:ascii="Arial" w:hAnsi="Arial" w:cs="Arial"/>
        </w:rPr>
        <w:t xml:space="preserve"> </w:t>
      </w:r>
      <w:r w:rsidRPr="00C371B9">
        <w:rPr>
          <w:rFonts w:ascii="Arial" w:hAnsi="Arial" w:cs="Arial"/>
        </w:rPr>
        <w:t>causa</w:t>
      </w:r>
      <w:r w:rsidR="002C46B2">
        <w:rPr>
          <w:rFonts w:ascii="Arial" w:hAnsi="Arial" w:cs="Arial"/>
          <w:i/>
          <w:iCs/>
        </w:rPr>
        <w:t>.</w:t>
      </w:r>
      <w:r w:rsidR="002C46B2">
        <w:rPr>
          <w:rFonts w:ascii="Arial" w:hAnsi="Arial" w:cs="Arial"/>
          <w:iCs/>
        </w:rPr>
        <w:t xml:space="preserve"> Pelo contrário; o</w:t>
      </w:r>
      <w:r w:rsidRPr="00C371B9">
        <w:rPr>
          <w:rFonts w:ascii="Arial" w:hAnsi="Arial" w:cs="Arial"/>
        </w:rPr>
        <w:t xml:space="preserve"> Ministro Sepúlveda Pertence citava uma frase do </w:t>
      </w:r>
      <w:r w:rsidRPr="00C371B9">
        <w:rPr>
          <w:rFonts w:ascii="Arial" w:hAnsi="Arial" w:cs="Arial"/>
          <w:i/>
          <w:iCs/>
        </w:rPr>
        <w:t>Justice</w:t>
      </w:r>
      <w:r w:rsidRPr="00C371B9">
        <w:rPr>
          <w:rFonts w:ascii="Arial" w:hAnsi="Arial" w:cs="Arial"/>
        </w:rPr>
        <w:t xml:space="preserve"> </w:t>
      </w:r>
      <w:proofErr w:type="spellStart"/>
      <w:r w:rsidRPr="00C371B9">
        <w:rPr>
          <w:rFonts w:ascii="Arial" w:hAnsi="Arial" w:cs="Arial"/>
        </w:rPr>
        <w:t>Frankfurter</w:t>
      </w:r>
      <w:proofErr w:type="spellEnd"/>
      <w:r w:rsidRPr="00C371B9">
        <w:rPr>
          <w:rFonts w:ascii="Arial" w:hAnsi="Arial" w:cs="Arial"/>
        </w:rPr>
        <w:t xml:space="preserve">, da Suprema Corte Americana, no caso </w:t>
      </w:r>
      <w:r w:rsidRPr="00C371B9">
        <w:rPr>
          <w:rFonts w:ascii="Arial" w:hAnsi="Arial" w:cs="Arial"/>
          <w:i/>
          <w:iCs/>
        </w:rPr>
        <w:t xml:space="preserve">United </w:t>
      </w:r>
      <w:proofErr w:type="spellStart"/>
      <w:r w:rsidRPr="00C371B9">
        <w:rPr>
          <w:rFonts w:ascii="Arial" w:hAnsi="Arial" w:cs="Arial"/>
          <w:i/>
          <w:iCs/>
        </w:rPr>
        <w:t>States</w:t>
      </w:r>
      <w:proofErr w:type="spellEnd"/>
      <w:r w:rsidRPr="00C371B9">
        <w:rPr>
          <w:rFonts w:ascii="Arial" w:hAnsi="Arial" w:cs="Arial"/>
          <w:i/>
          <w:iCs/>
        </w:rPr>
        <w:t xml:space="preserve"> v. </w:t>
      </w:r>
      <w:proofErr w:type="spellStart"/>
      <w:r w:rsidRPr="00C371B9">
        <w:rPr>
          <w:rFonts w:ascii="Arial" w:hAnsi="Arial" w:cs="Arial"/>
          <w:i/>
          <w:iCs/>
        </w:rPr>
        <w:t>Rabinowitz</w:t>
      </w:r>
      <w:proofErr w:type="spellEnd"/>
      <w:r w:rsidRPr="00C371B9">
        <w:rPr>
          <w:rFonts w:ascii="Arial" w:hAnsi="Arial" w:cs="Arial"/>
        </w:rPr>
        <w:t>, 339 U.S. 56 (1950), que pode ser traduzida proximamente por “</w:t>
      </w:r>
      <w:r w:rsidRPr="00C371B9">
        <w:rPr>
          <w:rFonts w:ascii="Arial" w:hAnsi="Arial" w:cs="Arial"/>
          <w:i/>
          <w:iCs/>
        </w:rPr>
        <w:t>Pode-se resumir bem a história das garantias da liberdade afirmando que foram forjadas em disputas envolvendo pessoas não tão apreciáveis”</w:t>
      </w:r>
      <w:r w:rsidR="00DB224D">
        <w:rPr>
          <w:rFonts w:ascii="Arial" w:hAnsi="Arial" w:cs="Arial"/>
          <w:i/>
          <w:iCs/>
        </w:rPr>
        <w:t xml:space="preserve"> </w:t>
      </w:r>
      <w:r w:rsidRPr="00C371B9">
        <w:rPr>
          <w:rFonts w:ascii="Arial" w:hAnsi="Arial" w:cs="Arial"/>
        </w:rPr>
        <w:t>(“</w:t>
      </w:r>
      <w:r w:rsidRPr="00C371B9">
        <w:rPr>
          <w:rFonts w:ascii="Arial" w:hAnsi="Arial" w:cs="Arial"/>
          <w:i/>
          <w:iCs/>
        </w:rPr>
        <w:t xml:space="preserve">It </w:t>
      </w:r>
      <w:proofErr w:type="spellStart"/>
      <w:r w:rsidRPr="00C371B9">
        <w:rPr>
          <w:rFonts w:ascii="Arial" w:hAnsi="Arial" w:cs="Arial"/>
          <w:i/>
          <w:iCs/>
        </w:rPr>
        <w:t>is</w:t>
      </w:r>
      <w:proofErr w:type="spellEnd"/>
      <w:r w:rsidRPr="00C371B9">
        <w:rPr>
          <w:rFonts w:ascii="Arial" w:hAnsi="Arial" w:cs="Arial"/>
          <w:i/>
          <w:iCs/>
        </w:rPr>
        <w:t xml:space="preserve"> a fair </w:t>
      </w:r>
      <w:proofErr w:type="spellStart"/>
      <w:r w:rsidRPr="00C371B9">
        <w:rPr>
          <w:rFonts w:ascii="Arial" w:hAnsi="Arial" w:cs="Arial"/>
          <w:i/>
          <w:iCs/>
        </w:rPr>
        <w:t>summary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of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history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to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say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that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the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safeguards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of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liberty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have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frequently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been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forged</w:t>
      </w:r>
      <w:proofErr w:type="spellEnd"/>
      <w:r w:rsidRPr="00C371B9">
        <w:rPr>
          <w:rFonts w:ascii="Arial" w:hAnsi="Arial" w:cs="Arial"/>
          <w:i/>
          <w:iCs/>
        </w:rPr>
        <w:t xml:space="preserve"> in </w:t>
      </w:r>
      <w:proofErr w:type="spellStart"/>
      <w:r w:rsidRPr="00C371B9">
        <w:rPr>
          <w:rFonts w:ascii="Arial" w:hAnsi="Arial" w:cs="Arial"/>
          <w:i/>
          <w:iCs/>
        </w:rPr>
        <w:t>controversies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involving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not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very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Pr="00C371B9">
        <w:rPr>
          <w:rFonts w:ascii="Arial" w:hAnsi="Arial" w:cs="Arial"/>
          <w:i/>
          <w:iCs/>
        </w:rPr>
        <w:t>nice</w:t>
      </w:r>
      <w:proofErr w:type="spellEnd"/>
      <w:proofErr w:type="gram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people</w:t>
      </w:r>
      <w:proofErr w:type="spellEnd"/>
      <w:r w:rsidRPr="00C371B9">
        <w:rPr>
          <w:rFonts w:ascii="Arial" w:hAnsi="Arial" w:cs="Arial"/>
          <w:i/>
          <w:iCs/>
        </w:rPr>
        <w:t>”</w:t>
      </w:r>
      <w:r w:rsidRPr="00C371B9">
        <w:rPr>
          <w:rFonts w:ascii="Arial" w:hAnsi="Arial" w:cs="Arial"/>
        </w:rPr>
        <w:t>).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Seguindo essa inspiração, marquei, em minhas manifestações, a importância </w:t>
      </w:r>
      <w:r w:rsidR="002C46B2">
        <w:rPr>
          <w:rFonts w:ascii="Arial" w:hAnsi="Arial" w:cs="Arial"/>
        </w:rPr>
        <w:t>de</w:t>
      </w:r>
      <w:r w:rsidR="002C46B2" w:rsidRPr="00C371B9">
        <w:rPr>
          <w:rFonts w:ascii="Arial" w:hAnsi="Arial" w:cs="Arial"/>
        </w:rPr>
        <w:t xml:space="preserve"> </w:t>
      </w:r>
      <w:r w:rsidR="007D1A0A">
        <w:rPr>
          <w:rFonts w:ascii="Arial" w:hAnsi="Arial" w:cs="Arial"/>
        </w:rPr>
        <w:t xml:space="preserve">observar-se o </w:t>
      </w:r>
      <w:r w:rsidRPr="00C371B9">
        <w:rPr>
          <w:rFonts w:ascii="Arial" w:hAnsi="Arial" w:cs="Arial"/>
        </w:rPr>
        <w:t>devido processo legal na investigação e acusação criminal. Fiz ver que, como Procurador da República, Marcello Miller era, segundo versões correntes, tido por acusador virulento, agressivo e arbitrário. A roda da fortuna virou e de acusador implacável passou a acusado de delitos graves, pelos fatos que mencionei em meus pronunciamentos.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Se, de alguma forma, meus pronunciamentos pudessem ser compreendidos como antecipação de julgamento, seria de um julgamento favorável ao paciente.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Comprovando minha independência na avaliação da causa, antes mesmo de tomar conhecimento da presente arguição, deferi medida liminar, nos exatos termos em que requerida pelos impetrantes.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Em um segundo momento, os impetrantes alegaram que, mesmo após o deferimento da medida liminar, não receberam acesso a parte da documentação produzida pela CPMI. Novamente, expedi provimento, assegurando o acesso </w:t>
      </w:r>
      <w:r w:rsidR="007D1A0A">
        <w:rPr>
          <w:rFonts w:ascii="Arial" w:hAnsi="Arial" w:cs="Arial"/>
        </w:rPr>
        <w:t>à</w:t>
      </w:r>
      <w:r w:rsidR="007D1A0A" w:rsidRPr="00C371B9">
        <w:rPr>
          <w:rFonts w:ascii="Arial" w:hAnsi="Arial" w:cs="Arial"/>
        </w:rPr>
        <w:t xml:space="preserve"> </w:t>
      </w:r>
      <w:r w:rsidRPr="00C371B9">
        <w:rPr>
          <w:rFonts w:ascii="Arial" w:hAnsi="Arial" w:cs="Arial"/>
        </w:rPr>
        <w:t>informação.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O arguente, que, segundo relatos, teria pouco respeito pelo </w:t>
      </w:r>
      <w:proofErr w:type="spellStart"/>
      <w:r w:rsidRPr="00C371B9">
        <w:rPr>
          <w:rFonts w:ascii="Arial" w:hAnsi="Arial" w:cs="Arial"/>
          <w:i/>
          <w:iCs/>
        </w:rPr>
        <w:t>due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process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of</w:t>
      </w:r>
      <w:proofErr w:type="spellEnd"/>
      <w:r w:rsidRPr="00C371B9">
        <w:rPr>
          <w:rFonts w:ascii="Arial" w:hAnsi="Arial" w:cs="Arial"/>
          <w:i/>
          <w:iCs/>
        </w:rPr>
        <w:t xml:space="preserve"> </w:t>
      </w:r>
      <w:proofErr w:type="spellStart"/>
      <w:r w:rsidRPr="00C371B9">
        <w:rPr>
          <w:rFonts w:ascii="Arial" w:hAnsi="Arial" w:cs="Arial"/>
          <w:i/>
          <w:iCs/>
        </w:rPr>
        <w:t>law</w:t>
      </w:r>
      <w:proofErr w:type="spellEnd"/>
      <w:r w:rsidRPr="00C371B9">
        <w:rPr>
          <w:rFonts w:ascii="Arial" w:hAnsi="Arial" w:cs="Arial"/>
        </w:rPr>
        <w:t xml:space="preserve">, agora se viu na contingência de suplicar proteção judicial efetiva. Certamente, é um duro aprendizado e uma lição </w:t>
      </w:r>
      <w:r w:rsidR="000C7402">
        <w:rPr>
          <w:rFonts w:ascii="Arial" w:hAnsi="Arial" w:cs="Arial"/>
        </w:rPr>
        <w:t xml:space="preserve">de vida </w:t>
      </w:r>
      <w:r w:rsidRPr="00C371B9">
        <w:rPr>
          <w:rFonts w:ascii="Arial" w:hAnsi="Arial" w:cs="Arial"/>
        </w:rPr>
        <w:t xml:space="preserve">inolvidável. E </w:t>
      </w:r>
      <w:r w:rsidRPr="00C371B9">
        <w:rPr>
          <w:rFonts w:ascii="Arial" w:hAnsi="Arial" w:cs="Arial"/>
        </w:rPr>
        <w:lastRenderedPageBreak/>
        <w:t>mais surpreendente ainda, suas súplicas foram deferidas pelo magistrado que ele considera suspeito.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>Essa é a beleza do estado de direito: ele protege até mesmo seus violadores sistemáticos.</w:t>
      </w:r>
    </w:p>
    <w:p w:rsidR="00C371B9" w:rsidRPr="00C371B9" w:rsidRDefault="00C371B9" w:rsidP="002B07D3">
      <w:pPr>
        <w:pStyle w:val="NormalWeb"/>
        <w:spacing w:after="100" w:afterAutospacing="1" w:line="360" w:lineRule="auto"/>
        <w:ind w:firstLine="1134"/>
        <w:jc w:val="both"/>
        <w:rPr>
          <w:rFonts w:ascii="Arial" w:hAnsi="Arial" w:cs="Arial"/>
        </w:rPr>
      </w:pPr>
      <w:r w:rsidRPr="00C371B9">
        <w:rPr>
          <w:rFonts w:ascii="Arial" w:hAnsi="Arial" w:cs="Arial"/>
        </w:rPr>
        <w:t xml:space="preserve">Ante o exposto, informo a Vossa Excelência que não aceito a suspeição e pugno por sua integral rejeição. </w:t>
      </w:r>
    </w:p>
    <w:p w:rsidR="007E05F0" w:rsidRPr="00C371B9" w:rsidRDefault="006109D9" w:rsidP="002B07D3">
      <w:pPr>
        <w:spacing w:before="100" w:beforeAutospacing="1" w:after="100" w:afterAutospacing="1"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C371B9">
        <w:rPr>
          <w:rFonts w:ascii="Arial" w:hAnsi="Arial" w:cs="Arial"/>
          <w:sz w:val="24"/>
          <w:szCs w:val="24"/>
          <w:lang w:val="pt-BR"/>
        </w:rPr>
        <w:t>Atenciosamente</w:t>
      </w:r>
      <w:r w:rsidR="007E05F0" w:rsidRPr="00C371B9">
        <w:rPr>
          <w:rFonts w:ascii="Arial" w:hAnsi="Arial" w:cs="Arial"/>
          <w:sz w:val="24"/>
          <w:szCs w:val="24"/>
          <w:lang w:val="pt-BR"/>
        </w:rPr>
        <w:t>,</w:t>
      </w:r>
    </w:p>
    <w:p w:rsidR="00E51B84" w:rsidRPr="00C371B9" w:rsidRDefault="00E51B84" w:rsidP="002B07D3">
      <w:pPr>
        <w:spacing w:before="100" w:beforeAutospacing="1" w:after="100" w:afterAutospacing="1" w:line="360" w:lineRule="auto"/>
        <w:ind w:firstLine="709"/>
        <w:jc w:val="both"/>
        <w:rPr>
          <w:rFonts w:ascii="Arial" w:hAnsi="Arial" w:cs="Arial"/>
          <w:sz w:val="28"/>
          <w:szCs w:val="28"/>
          <w:lang w:val="pt-BR"/>
        </w:rPr>
      </w:pPr>
    </w:p>
    <w:p w:rsidR="007E05F0" w:rsidRPr="00C371B9" w:rsidRDefault="007E05F0" w:rsidP="002B07D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C371B9">
        <w:rPr>
          <w:rFonts w:ascii="Arial" w:hAnsi="Arial" w:cs="Arial"/>
          <w:sz w:val="28"/>
          <w:szCs w:val="28"/>
          <w:lang w:val="pt-BR"/>
        </w:rPr>
        <w:t>Ministro</w:t>
      </w:r>
      <w:r w:rsidRPr="00C371B9">
        <w:rPr>
          <w:rFonts w:ascii="Arial" w:hAnsi="Arial" w:cs="Arial"/>
          <w:b/>
          <w:sz w:val="28"/>
          <w:szCs w:val="28"/>
          <w:lang w:val="pt-BR"/>
        </w:rPr>
        <w:t xml:space="preserve"> Gilmar Mendes</w:t>
      </w:r>
    </w:p>
    <w:sectPr w:rsidR="007E05F0" w:rsidRPr="00C371B9" w:rsidSect="00A61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F6" w:rsidRDefault="00DE3BF6" w:rsidP="005F7083">
      <w:pPr>
        <w:spacing w:after="0" w:line="240" w:lineRule="auto"/>
      </w:pPr>
      <w:r>
        <w:separator/>
      </w:r>
    </w:p>
  </w:endnote>
  <w:endnote w:type="continuationSeparator" w:id="0">
    <w:p w:rsidR="00DE3BF6" w:rsidRDefault="00DE3BF6" w:rsidP="005F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0D" w:rsidRDefault="0024360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826104"/>
      <w:docPartObj>
        <w:docPartGallery w:val="Page Numbers (Bottom of Page)"/>
        <w:docPartUnique/>
      </w:docPartObj>
    </w:sdtPr>
    <w:sdtEndPr/>
    <w:sdtContent>
      <w:p w:rsidR="00DB224D" w:rsidRDefault="00DB22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81D" w:rsidRPr="001D581D">
          <w:rPr>
            <w:noProof/>
            <w:lang w:val="pt-BR"/>
          </w:rPr>
          <w:t>2</w:t>
        </w:r>
        <w:r>
          <w:fldChar w:fldCharType="end"/>
        </w:r>
      </w:p>
    </w:sdtContent>
  </w:sdt>
  <w:p w:rsidR="00DB224D" w:rsidRDefault="00DB22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0D" w:rsidRDefault="002436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F6" w:rsidRDefault="00DE3BF6" w:rsidP="005F7083">
      <w:pPr>
        <w:spacing w:after="0" w:line="240" w:lineRule="auto"/>
      </w:pPr>
      <w:r>
        <w:separator/>
      </w:r>
    </w:p>
  </w:footnote>
  <w:footnote w:type="continuationSeparator" w:id="0">
    <w:p w:rsidR="00DE3BF6" w:rsidRDefault="00DE3BF6" w:rsidP="005F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0D" w:rsidRDefault="0024360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83" w:rsidRDefault="005F708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0D" w:rsidRDefault="002436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EB"/>
    <w:rsid w:val="000412A6"/>
    <w:rsid w:val="000B15F8"/>
    <w:rsid w:val="000B5283"/>
    <w:rsid w:val="000C7402"/>
    <w:rsid w:val="000D4052"/>
    <w:rsid w:val="000E09C8"/>
    <w:rsid w:val="00125CAE"/>
    <w:rsid w:val="001362E3"/>
    <w:rsid w:val="001416A7"/>
    <w:rsid w:val="00186FE6"/>
    <w:rsid w:val="001B41AF"/>
    <w:rsid w:val="001D581D"/>
    <w:rsid w:val="001E7307"/>
    <w:rsid w:val="0023072C"/>
    <w:rsid w:val="0024360D"/>
    <w:rsid w:val="00250AC4"/>
    <w:rsid w:val="00267372"/>
    <w:rsid w:val="002755EB"/>
    <w:rsid w:val="002B07D3"/>
    <w:rsid w:val="002C46B2"/>
    <w:rsid w:val="002E5576"/>
    <w:rsid w:val="00357B42"/>
    <w:rsid w:val="003E49E0"/>
    <w:rsid w:val="003F6023"/>
    <w:rsid w:val="00421994"/>
    <w:rsid w:val="00430E29"/>
    <w:rsid w:val="004571BD"/>
    <w:rsid w:val="0046481E"/>
    <w:rsid w:val="00490A6F"/>
    <w:rsid w:val="004B2B0C"/>
    <w:rsid w:val="004E2A76"/>
    <w:rsid w:val="004F2287"/>
    <w:rsid w:val="0051666E"/>
    <w:rsid w:val="00531ECB"/>
    <w:rsid w:val="005A7C17"/>
    <w:rsid w:val="005B34DC"/>
    <w:rsid w:val="005F7083"/>
    <w:rsid w:val="006109D9"/>
    <w:rsid w:val="0063696B"/>
    <w:rsid w:val="00643FBF"/>
    <w:rsid w:val="0064415D"/>
    <w:rsid w:val="00644C4E"/>
    <w:rsid w:val="00666CD0"/>
    <w:rsid w:val="00686EC5"/>
    <w:rsid w:val="006C3891"/>
    <w:rsid w:val="006D0C3F"/>
    <w:rsid w:val="006D1944"/>
    <w:rsid w:val="006D492B"/>
    <w:rsid w:val="007357C0"/>
    <w:rsid w:val="00751F23"/>
    <w:rsid w:val="007C3ABF"/>
    <w:rsid w:val="007D1A0A"/>
    <w:rsid w:val="007E05F0"/>
    <w:rsid w:val="00914018"/>
    <w:rsid w:val="009142A9"/>
    <w:rsid w:val="00972F11"/>
    <w:rsid w:val="00973CED"/>
    <w:rsid w:val="00975CDC"/>
    <w:rsid w:val="009A2238"/>
    <w:rsid w:val="009F4B48"/>
    <w:rsid w:val="00A20ADD"/>
    <w:rsid w:val="00A616BD"/>
    <w:rsid w:val="00A645E7"/>
    <w:rsid w:val="00AB3C5C"/>
    <w:rsid w:val="00AC7070"/>
    <w:rsid w:val="00AE709B"/>
    <w:rsid w:val="00B1274D"/>
    <w:rsid w:val="00B41138"/>
    <w:rsid w:val="00B664C5"/>
    <w:rsid w:val="00B917DF"/>
    <w:rsid w:val="00BA5E9F"/>
    <w:rsid w:val="00BA6CB6"/>
    <w:rsid w:val="00BB39FC"/>
    <w:rsid w:val="00BC6B77"/>
    <w:rsid w:val="00BC7B68"/>
    <w:rsid w:val="00BE4832"/>
    <w:rsid w:val="00C351E6"/>
    <w:rsid w:val="00C371B9"/>
    <w:rsid w:val="00C80E96"/>
    <w:rsid w:val="00C8159D"/>
    <w:rsid w:val="00CC2F35"/>
    <w:rsid w:val="00D138FB"/>
    <w:rsid w:val="00D234A8"/>
    <w:rsid w:val="00D51FC6"/>
    <w:rsid w:val="00D762DD"/>
    <w:rsid w:val="00D85F06"/>
    <w:rsid w:val="00DB224D"/>
    <w:rsid w:val="00DC0515"/>
    <w:rsid w:val="00DC0F16"/>
    <w:rsid w:val="00DE3BF6"/>
    <w:rsid w:val="00E21945"/>
    <w:rsid w:val="00E23E5D"/>
    <w:rsid w:val="00E2545F"/>
    <w:rsid w:val="00E45512"/>
    <w:rsid w:val="00E51B84"/>
    <w:rsid w:val="00E8184A"/>
    <w:rsid w:val="00ED70C7"/>
    <w:rsid w:val="00FD4BBF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B6"/>
    <w:rPr>
      <w:lang w:val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BA6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6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6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6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har">
    <w:name w:val="Título 2 Char"/>
    <w:basedOn w:val="Fontepargpadro"/>
    <w:link w:val="Ttulo2"/>
    <w:uiPriority w:val="9"/>
    <w:rsid w:val="00BA6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har">
    <w:name w:val="Título 3 Char"/>
    <w:basedOn w:val="Fontepargpadro"/>
    <w:link w:val="Ttulo3"/>
    <w:uiPriority w:val="9"/>
    <w:rsid w:val="00BA6CB6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SemEspaamento">
    <w:name w:val="No Spacing"/>
    <w:uiPriority w:val="1"/>
    <w:qFormat/>
    <w:rsid w:val="00BA6CB6"/>
    <w:pPr>
      <w:spacing w:after="0" w:line="240" w:lineRule="auto"/>
    </w:pPr>
    <w:rPr>
      <w:lang w:val="es-ES"/>
    </w:rPr>
  </w:style>
  <w:style w:type="paragraph" w:customStyle="1" w:styleId="Padro">
    <w:name w:val="Padrão"/>
    <w:uiPriority w:val="99"/>
    <w:rsid w:val="0063696B"/>
    <w:pPr>
      <w:autoSpaceDE w:val="0"/>
      <w:autoSpaceDN w:val="0"/>
      <w:adjustRightInd w:val="0"/>
      <w:spacing w:after="119" w:line="360" w:lineRule="auto"/>
      <w:jc w:val="both"/>
    </w:pPr>
    <w:rPr>
      <w:rFonts w:ascii="Garamond" w:eastAsia="Calibri" w:hAnsi="Garamond" w:cs="Garamond"/>
      <w:sz w:val="27"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6B"/>
    <w:rPr>
      <w:rFonts w:ascii="Tahoma" w:hAnsi="Tahoma" w:cs="Tahoma"/>
      <w:sz w:val="16"/>
      <w:szCs w:val="16"/>
      <w:lang w:val="es-ES"/>
    </w:rPr>
  </w:style>
  <w:style w:type="paragraph" w:styleId="Cabealho">
    <w:name w:val="header"/>
    <w:basedOn w:val="Normal"/>
    <w:link w:val="CabealhoChar"/>
    <w:uiPriority w:val="99"/>
    <w:unhideWhenUsed/>
    <w:rsid w:val="005F7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083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5F7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083"/>
    <w:rPr>
      <w:lang w:val="es-ES"/>
    </w:rPr>
  </w:style>
  <w:style w:type="character" w:styleId="Forte">
    <w:name w:val="Strong"/>
    <w:basedOn w:val="Fontepargpadro"/>
    <w:uiPriority w:val="22"/>
    <w:qFormat/>
    <w:rsid w:val="00430E29"/>
    <w:rPr>
      <w:b/>
      <w:bCs/>
    </w:rPr>
  </w:style>
  <w:style w:type="paragraph" w:styleId="NormalWeb">
    <w:name w:val="Normal (Web)"/>
    <w:basedOn w:val="Normal"/>
    <w:uiPriority w:val="99"/>
    <w:unhideWhenUsed/>
    <w:rsid w:val="00C371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C371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B6"/>
    <w:rPr>
      <w:lang w:val="es-ES"/>
    </w:rPr>
  </w:style>
  <w:style w:type="paragraph" w:styleId="Ttulo1">
    <w:name w:val="heading 1"/>
    <w:basedOn w:val="Normal"/>
    <w:next w:val="Normal"/>
    <w:link w:val="Ttulo1Char"/>
    <w:uiPriority w:val="9"/>
    <w:qFormat/>
    <w:rsid w:val="00BA6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6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6C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6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har">
    <w:name w:val="Título 2 Char"/>
    <w:basedOn w:val="Fontepargpadro"/>
    <w:link w:val="Ttulo2"/>
    <w:uiPriority w:val="9"/>
    <w:rsid w:val="00BA6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har">
    <w:name w:val="Título 3 Char"/>
    <w:basedOn w:val="Fontepargpadro"/>
    <w:link w:val="Ttulo3"/>
    <w:uiPriority w:val="9"/>
    <w:rsid w:val="00BA6CB6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SemEspaamento">
    <w:name w:val="No Spacing"/>
    <w:uiPriority w:val="1"/>
    <w:qFormat/>
    <w:rsid w:val="00BA6CB6"/>
    <w:pPr>
      <w:spacing w:after="0" w:line="240" w:lineRule="auto"/>
    </w:pPr>
    <w:rPr>
      <w:lang w:val="es-ES"/>
    </w:rPr>
  </w:style>
  <w:style w:type="paragraph" w:customStyle="1" w:styleId="Padro">
    <w:name w:val="Padrão"/>
    <w:uiPriority w:val="99"/>
    <w:rsid w:val="0063696B"/>
    <w:pPr>
      <w:autoSpaceDE w:val="0"/>
      <w:autoSpaceDN w:val="0"/>
      <w:adjustRightInd w:val="0"/>
      <w:spacing w:after="119" w:line="360" w:lineRule="auto"/>
      <w:jc w:val="both"/>
    </w:pPr>
    <w:rPr>
      <w:rFonts w:ascii="Garamond" w:eastAsia="Calibri" w:hAnsi="Garamond" w:cs="Garamond"/>
      <w:sz w:val="27"/>
      <w:szCs w:val="2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96B"/>
    <w:rPr>
      <w:rFonts w:ascii="Tahoma" w:hAnsi="Tahoma" w:cs="Tahoma"/>
      <w:sz w:val="16"/>
      <w:szCs w:val="16"/>
      <w:lang w:val="es-ES"/>
    </w:rPr>
  </w:style>
  <w:style w:type="paragraph" w:styleId="Cabealho">
    <w:name w:val="header"/>
    <w:basedOn w:val="Normal"/>
    <w:link w:val="CabealhoChar"/>
    <w:uiPriority w:val="99"/>
    <w:unhideWhenUsed/>
    <w:rsid w:val="005F7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083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5F7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083"/>
    <w:rPr>
      <w:lang w:val="es-ES"/>
    </w:rPr>
  </w:style>
  <w:style w:type="character" w:styleId="Forte">
    <w:name w:val="Strong"/>
    <w:basedOn w:val="Fontepargpadro"/>
    <w:uiPriority w:val="22"/>
    <w:qFormat/>
    <w:rsid w:val="00430E29"/>
    <w:rPr>
      <w:b/>
      <w:bCs/>
    </w:rPr>
  </w:style>
  <w:style w:type="paragraph" w:styleId="NormalWeb">
    <w:name w:val="Normal (Web)"/>
    <w:basedOn w:val="Normal"/>
    <w:uiPriority w:val="99"/>
    <w:unhideWhenUsed/>
    <w:rsid w:val="00C371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western">
    <w:name w:val="western"/>
    <w:basedOn w:val="Normal"/>
    <w:rsid w:val="00C371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BF1B-16BD-4E0A-8C7F-0701F780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Supremo Tribunal Federal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Olivia Fonseca Serejo</dc:creator>
  <cp:lastModifiedBy>Daniel Marchionatti Barbosa</cp:lastModifiedBy>
  <cp:revision>3</cp:revision>
  <cp:lastPrinted>2017-12-18T15:30:00Z</cp:lastPrinted>
  <dcterms:created xsi:type="dcterms:W3CDTF">2017-12-19T11:42:00Z</dcterms:created>
  <dcterms:modified xsi:type="dcterms:W3CDTF">2017-12-19T11:48:00Z</dcterms:modified>
</cp:coreProperties>
</file>